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731309" w:rsidRPr="00BB4D20" w:rsidRDefault="002E525B" w:rsidP="00BB4D20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32"/>
        </w:rPr>
      </w:pPr>
      <w:r w:rsidRPr="00BB4D20">
        <w:rPr>
          <w:rFonts w:ascii="Book Antiqua" w:hAnsi="Book Antiqua" w:cs="Times New Roman"/>
          <w:b/>
          <w:color w:val="FFFFFF" w:themeColor="background1"/>
          <w:sz w:val="32"/>
          <w:szCs w:val="32"/>
        </w:rPr>
        <w:t>Tissue response to agonist</w:t>
      </w:r>
    </w:p>
    <w:p w:rsidR="002E525B" w:rsidRPr="00BB4D20" w:rsidRDefault="002E525B" w:rsidP="00BB4D20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4"/>
        </w:rPr>
      </w:pPr>
      <w:r w:rsidRPr="00BB4D20">
        <w:rPr>
          <w:rFonts w:ascii="Book Antiqua" w:hAnsi="Book Antiqua" w:cs="Times New Roman"/>
          <w:b/>
          <w:color w:val="FFFFFF" w:themeColor="background1"/>
          <w:sz w:val="24"/>
          <w:szCs w:val="24"/>
        </w:rPr>
        <w:t>(Pre-</w:t>
      </w:r>
      <w:r w:rsidR="00BB4D20" w:rsidRPr="00BB4D20">
        <w:rPr>
          <w:rFonts w:ascii="Book Antiqua" w:hAnsi="Book Antiqua" w:cs="Times New Roman"/>
          <w:b/>
          <w:color w:val="FFFFFF" w:themeColor="background1"/>
          <w:sz w:val="24"/>
          <w:szCs w:val="24"/>
        </w:rPr>
        <w:t xml:space="preserve"> and post-</w:t>
      </w:r>
      <w:r w:rsidRPr="00BB4D20">
        <w:rPr>
          <w:rFonts w:ascii="Book Antiqua" w:hAnsi="Book Antiqua" w:cs="Times New Roman"/>
          <w:b/>
          <w:color w:val="FFFFFF" w:themeColor="background1"/>
          <w:sz w:val="24"/>
          <w:szCs w:val="24"/>
        </w:rPr>
        <w:t>test)</w:t>
      </w:r>
    </w:p>
    <w:p w:rsidR="00BB4D20" w:rsidRPr="00BB4D20" w:rsidRDefault="00BB4D20" w:rsidP="00BB4D20">
      <w:pPr>
        <w:spacing w:after="12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:rsidR="002E525B" w:rsidRPr="00BB4D20" w:rsidRDefault="002E525B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What should be the length of ileum for experimenting drug response?</w:t>
      </w:r>
    </w:p>
    <w:p w:rsidR="002E525B" w:rsidRPr="00BB4D20" w:rsidRDefault="002E525B" w:rsidP="00BB4D20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1.5 cm</w:t>
      </w:r>
    </w:p>
    <w:p w:rsidR="002E525B" w:rsidRPr="00BB4D20" w:rsidRDefault="002E525B" w:rsidP="00BB4D20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2.5 cm</w:t>
      </w:r>
    </w:p>
    <w:p w:rsidR="002E525B" w:rsidRPr="00BB4D20" w:rsidRDefault="002E525B" w:rsidP="00BB4D20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3.5 cm</w:t>
      </w:r>
    </w:p>
    <w:p w:rsidR="002E525B" w:rsidRDefault="002E525B" w:rsidP="00BB4D20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4.5 cm</w:t>
      </w:r>
    </w:p>
    <w:p w:rsidR="00BB4D20" w:rsidRPr="00BB4D20" w:rsidRDefault="00BB4D20" w:rsidP="00BB4D20">
      <w:pPr>
        <w:pStyle w:val="ListParagraph"/>
        <w:spacing w:after="120" w:line="240" w:lineRule="auto"/>
        <w:ind w:left="1484"/>
        <w:contextualSpacing w:val="0"/>
        <w:rPr>
          <w:rFonts w:ascii="Book Antiqua" w:hAnsi="Book Antiqua"/>
          <w:sz w:val="20"/>
          <w:szCs w:val="20"/>
        </w:rPr>
      </w:pPr>
    </w:p>
    <w:p w:rsidR="002E525B" w:rsidRPr="00BB4D20" w:rsidRDefault="002E525B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 xml:space="preserve"> Which of the following statement is true?</w:t>
      </w:r>
    </w:p>
    <w:p w:rsidR="00F3498E" w:rsidRPr="00BB4D20" w:rsidRDefault="00BB4D20" w:rsidP="00BB4D20">
      <w:pPr>
        <w:pStyle w:val="ListParagraph"/>
        <w:numPr>
          <w:ilvl w:val="0"/>
          <w:numId w:val="11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C</w:t>
      </w:r>
      <w:r w:rsidR="00F3498E" w:rsidRPr="00BB4D20">
        <w:rPr>
          <w:rFonts w:ascii="Book Antiqua" w:hAnsi="Book Antiqua"/>
          <w:sz w:val="20"/>
          <w:szCs w:val="20"/>
        </w:rPr>
        <w:t>ecal</w:t>
      </w:r>
      <w:proofErr w:type="spellEnd"/>
      <w:r w:rsidR="00F3498E" w:rsidRPr="00BB4D20">
        <w:rPr>
          <w:rFonts w:ascii="Book Antiqua" w:hAnsi="Book Antiqua"/>
          <w:sz w:val="20"/>
          <w:szCs w:val="20"/>
        </w:rPr>
        <w:t xml:space="preserve"> end is tied to the tissue holder and gastric end to the </w:t>
      </w:r>
      <w:proofErr w:type="spellStart"/>
      <w:r w:rsidR="00F3498E" w:rsidRPr="00BB4D20">
        <w:rPr>
          <w:rFonts w:ascii="Book Antiqua" w:hAnsi="Book Antiqua"/>
          <w:sz w:val="20"/>
          <w:szCs w:val="20"/>
        </w:rPr>
        <w:t>plasticine</w:t>
      </w:r>
      <w:proofErr w:type="spellEnd"/>
    </w:p>
    <w:p w:rsidR="00F3498E" w:rsidRPr="00BB4D20" w:rsidRDefault="00BB4D20" w:rsidP="00BB4D20">
      <w:pPr>
        <w:pStyle w:val="ListParagraph"/>
        <w:numPr>
          <w:ilvl w:val="0"/>
          <w:numId w:val="11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C</w:t>
      </w:r>
      <w:r w:rsidRPr="00BB4D20">
        <w:rPr>
          <w:rFonts w:ascii="Book Antiqua" w:hAnsi="Book Antiqua"/>
          <w:sz w:val="20"/>
          <w:szCs w:val="20"/>
        </w:rPr>
        <w:t>ecal</w:t>
      </w:r>
      <w:proofErr w:type="spellEnd"/>
      <w:r w:rsidR="00F3498E" w:rsidRPr="00BB4D20">
        <w:rPr>
          <w:rFonts w:ascii="Book Antiqua" w:hAnsi="Book Antiqua"/>
          <w:sz w:val="20"/>
          <w:szCs w:val="20"/>
        </w:rPr>
        <w:t xml:space="preserve"> end tied to the tissue holder and gastric end to the writing end of lever</w:t>
      </w:r>
    </w:p>
    <w:p w:rsidR="00F3498E" w:rsidRPr="00BB4D20" w:rsidRDefault="00BB4D20" w:rsidP="00BB4D20">
      <w:pPr>
        <w:pStyle w:val="ListParagraph"/>
        <w:numPr>
          <w:ilvl w:val="0"/>
          <w:numId w:val="11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C</w:t>
      </w:r>
      <w:r w:rsidRPr="00BB4D20">
        <w:rPr>
          <w:rFonts w:ascii="Book Antiqua" w:hAnsi="Book Antiqua"/>
          <w:sz w:val="20"/>
          <w:szCs w:val="20"/>
        </w:rPr>
        <w:t>ecal</w:t>
      </w:r>
      <w:proofErr w:type="spellEnd"/>
      <w:r w:rsidR="00F3498E" w:rsidRPr="00BB4D20">
        <w:rPr>
          <w:rFonts w:ascii="Book Antiqua" w:hAnsi="Book Antiqua"/>
          <w:sz w:val="20"/>
          <w:szCs w:val="20"/>
        </w:rPr>
        <w:t xml:space="preserve"> end is tied to the </w:t>
      </w:r>
      <w:proofErr w:type="spellStart"/>
      <w:r w:rsidR="00F3498E" w:rsidRPr="00BB4D20">
        <w:rPr>
          <w:rFonts w:ascii="Book Antiqua" w:hAnsi="Book Antiqua"/>
          <w:sz w:val="20"/>
          <w:szCs w:val="20"/>
        </w:rPr>
        <w:t>plasticine</w:t>
      </w:r>
      <w:proofErr w:type="spellEnd"/>
      <w:r w:rsidR="00F3498E" w:rsidRPr="00BB4D20">
        <w:rPr>
          <w:rFonts w:ascii="Book Antiqua" w:hAnsi="Book Antiqua"/>
          <w:sz w:val="20"/>
          <w:szCs w:val="20"/>
        </w:rPr>
        <w:t xml:space="preserve"> and gastric end to the tissue holder</w:t>
      </w:r>
    </w:p>
    <w:p w:rsidR="002E525B" w:rsidRDefault="00BB4D20" w:rsidP="00BB4D20">
      <w:pPr>
        <w:pStyle w:val="ListParagraph"/>
        <w:numPr>
          <w:ilvl w:val="0"/>
          <w:numId w:val="11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bookmarkStart w:id="0" w:name="_GoBack"/>
      <w:bookmarkEnd w:id="0"/>
      <w:r w:rsidR="00F3498E" w:rsidRPr="00BB4D20">
        <w:rPr>
          <w:rFonts w:ascii="Book Antiqua" w:hAnsi="Book Antiqua"/>
          <w:sz w:val="20"/>
          <w:szCs w:val="20"/>
        </w:rPr>
        <w:t xml:space="preserve">issue end identification is not necessary for this experiment </w:t>
      </w:r>
    </w:p>
    <w:p w:rsidR="00BB4D20" w:rsidRPr="00BB4D20" w:rsidRDefault="00BB4D20" w:rsidP="00BB4D20">
      <w:pPr>
        <w:pStyle w:val="ListParagraph"/>
        <w:spacing w:after="120" w:line="240" w:lineRule="auto"/>
        <w:ind w:left="1484"/>
        <w:contextualSpacing w:val="0"/>
        <w:rPr>
          <w:rFonts w:ascii="Book Antiqua" w:hAnsi="Book Antiqua"/>
          <w:sz w:val="20"/>
          <w:szCs w:val="20"/>
        </w:rPr>
      </w:pPr>
    </w:p>
    <w:p w:rsidR="00F3498E" w:rsidRPr="00BB4D20" w:rsidRDefault="00F3498E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 xml:space="preserve"> To perform experiment with guinea pig ileum which of the following solution is preferred?</w:t>
      </w:r>
    </w:p>
    <w:p w:rsidR="00F3498E" w:rsidRPr="00BB4D20" w:rsidRDefault="00BB4D20" w:rsidP="00BB4D2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</w:t>
      </w:r>
      <w:r w:rsidR="00F3498E" w:rsidRPr="00BB4D20">
        <w:rPr>
          <w:rFonts w:ascii="Book Antiqua" w:hAnsi="Book Antiqua"/>
          <w:sz w:val="20"/>
          <w:szCs w:val="20"/>
        </w:rPr>
        <w:t>ormal saline</w:t>
      </w:r>
    </w:p>
    <w:p w:rsidR="00F3498E" w:rsidRPr="00BB4D20" w:rsidRDefault="00BB4D20" w:rsidP="00BB4D2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="00F3498E" w:rsidRPr="00BB4D20">
        <w:rPr>
          <w:rFonts w:ascii="Book Antiqua" w:hAnsi="Book Antiqua"/>
          <w:sz w:val="20"/>
          <w:szCs w:val="20"/>
        </w:rPr>
        <w:t>istilled water</w:t>
      </w:r>
    </w:p>
    <w:p w:rsidR="00F3498E" w:rsidRPr="00BB4D20" w:rsidRDefault="00BB4D20" w:rsidP="00BB4D2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T</w:t>
      </w:r>
      <w:r w:rsidR="00F3498E" w:rsidRPr="00BB4D20">
        <w:rPr>
          <w:rFonts w:ascii="Book Antiqua" w:hAnsi="Book Antiqua"/>
          <w:sz w:val="20"/>
          <w:szCs w:val="20"/>
        </w:rPr>
        <w:t>yrode’s</w:t>
      </w:r>
      <w:proofErr w:type="spellEnd"/>
      <w:r w:rsidR="00F3498E" w:rsidRPr="00BB4D20">
        <w:rPr>
          <w:rFonts w:ascii="Book Antiqua" w:hAnsi="Book Antiqua"/>
          <w:sz w:val="20"/>
          <w:szCs w:val="20"/>
        </w:rPr>
        <w:t xml:space="preserve"> solution</w:t>
      </w:r>
    </w:p>
    <w:p w:rsidR="00F3498E" w:rsidRDefault="00BB4D20" w:rsidP="00BB4D2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</w:t>
      </w:r>
      <w:r w:rsidR="00F3498E" w:rsidRPr="00BB4D20">
        <w:rPr>
          <w:rFonts w:ascii="Book Antiqua" w:hAnsi="Book Antiqua"/>
          <w:sz w:val="20"/>
          <w:szCs w:val="20"/>
        </w:rPr>
        <w:t>holera saline</w:t>
      </w:r>
    </w:p>
    <w:p w:rsidR="00BB4D20" w:rsidRPr="00BB4D20" w:rsidRDefault="00BB4D20" w:rsidP="00BB4D20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F3498E" w:rsidRPr="00BB4D20" w:rsidRDefault="00F3498E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Where you have to write down the strength of experimental agent?</w:t>
      </w:r>
    </w:p>
    <w:p w:rsidR="00F3498E" w:rsidRPr="00BB4D20" w:rsidRDefault="00BB4D20" w:rsidP="00BB4D20">
      <w:pPr>
        <w:pStyle w:val="ListParagraph"/>
        <w:numPr>
          <w:ilvl w:val="0"/>
          <w:numId w:val="13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F3498E" w:rsidRPr="00BB4D20">
        <w:rPr>
          <w:rFonts w:ascii="Book Antiqua" w:hAnsi="Book Antiqua"/>
          <w:sz w:val="20"/>
          <w:szCs w:val="20"/>
        </w:rPr>
        <w:t>n a paper</w:t>
      </w:r>
    </w:p>
    <w:p w:rsidR="00F3498E" w:rsidRPr="00BB4D20" w:rsidRDefault="00BB4D20" w:rsidP="00BB4D20">
      <w:pPr>
        <w:pStyle w:val="ListParagraph"/>
        <w:numPr>
          <w:ilvl w:val="0"/>
          <w:numId w:val="13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F3498E" w:rsidRPr="00BB4D20">
        <w:rPr>
          <w:rFonts w:ascii="Book Antiqua" w:hAnsi="Book Antiqua"/>
          <w:sz w:val="20"/>
          <w:szCs w:val="20"/>
        </w:rPr>
        <w:t>n kymograph</w:t>
      </w:r>
    </w:p>
    <w:p w:rsidR="00F3498E" w:rsidRPr="00BB4D20" w:rsidRDefault="00BB4D20" w:rsidP="00BB4D20">
      <w:pPr>
        <w:pStyle w:val="ListParagraph"/>
        <w:numPr>
          <w:ilvl w:val="0"/>
          <w:numId w:val="13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F3498E" w:rsidRPr="00BB4D20">
        <w:rPr>
          <w:rFonts w:ascii="Book Antiqua" w:hAnsi="Book Antiqua"/>
          <w:sz w:val="20"/>
          <w:szCs w:val="20"/>
        </w:rPr>
        <w:t>n laptop</w:t>
      </w:r>
    </w:p>
    <w:p w:rsidR="00F3498E" w:rsidRDefault="00BB4D20" w:rsidP="00BB4D20">
      <w:pPr>
        <w:pStyle w:val="ListParagraph"/>
        <w:numPr>
          <w:ilvl w:val="0"/>
          <w:numId w:val="13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="00F3498E" w:rsidRPr="00BB4D20">
        <w:rPr>
          <w:rFonts w:ascii="Book Antiqua" w:hAnsi="Book Antiqua"/>
          <w:sz w:val="20"/>
          <w:szCs w:val="20"/>
        </w:rPr>
        <w:t>nywhere</w:t>
      </w:r>
    </w:p>
    <w:p w:rsidR="00BB4D20" w:rsidRPr="00BB4D20" w:rsidRDefault="00BB4D20" w:rsidP="00BB4D20">
      <w:pPr>
        <w:pStyle w:val="ListParagraph"/>
        <w:spacing w:after="120" w:line="240" w:lineRule="auto"/>
        <w:ind w:left="1534"/>
        <w:contextualSpacing w:val="0"/>
        <w:rPr>
          <w:rFonts w:ascii="Book Antiqua" w:hAnsi="Book Antiqua"/>
          <w:sz w:val="20"/>
          <w:szCs w:val="20"/>
        </w:rPr>
      </w:pPr>
    </w:p>
    <w:p w:rsidR="00F3498E" w:rsidRPr="00BB4D20" w:rsidRDefault="00F3498E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Which of the following statement is true?</w:t>
      </w:r>
    </w:p>
    <w:p w:rsidR="00F3498E" w:rsidRPr="00BB4D20" w:rsidRDefault="00BB4D20" w:rsidP="00BB4D20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F3498E" w:rsidRPr="00BB4D20">
        <w:rPr>
          <w:rFonts w:ascii="Book Antiqua" w:hAnsi="Book Antiqua"/>
          <w:sz w:val="20"/>
          <w:szCs w:val="20"/>
        </w:rPr>
        <w:t xml:space="preserve">emperature of </w:t>
      </w:r>
      <w:r>
        <w:rPr>
          <w:rFonts w:ascii="Book Antiqua" w:hAnsi="Book Antiqua"/>
          <w:sz w:val="20"/>
          <w:szCs w:val="20"/>
        </w:rPr>
        <w:t xml:space="preserve">the </w:t>
      </w:r>
      <w:r w:rsidR="00F3498E" w:rsidRPr="00BB4D20">
        <w:rPr>
          <w:rFonts w:ascii="Book Antiqua" w:hAnsi="Book Antiqua"/>
          <w:sz w:val="20"/>
          <w:szCs w:val="20"/>
        </w:rPr>
        <w:t>inner and outer bath should be same</w:t>
      </w:r>
    </w:p>
    <w:p w:rsidR="00F3498E" w:rsidRPr="00BB4D20" w:rsidRDefault="00BB4D20" w:rsidP="00BB4D20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F3498E" w:rsidRPr="00BB4D20">
        <w:rPr>
          <w:rFonts w:ascii="Book Antiqua" w:hAnsi="Book Antiqua"/>
          <w:sz w:val="20"/>
          <w:szCs w:val="20"/>
        </w:rPr>
        <w:t xml:space="preserve">emperature of </w:t>
      </w:r>
      <w:r>
        <w:rPr>
          <w:rFonts w:ascii="Book Antiqua" w:hAnsi="Book Antiqua"/>
          <w:sz w:val="20"/>
          <w:szCs w:val="20"/>
        </w:rPr>
        <w:t xml:space="preserve">the </w:t>
      </w:r>
      <w:r w:rsidR="00F3498E" w:rsidRPr="00BB4D20">
        <w:rPr>
          <w:rFonts w:ascii="Book Antiqua" w:hAnsi="Book Antiqua"/>
          <w:sz w:val="20"/>
          <w:szCs w:val="20"/>
        </w:rPr>
        <w:t>inner bath should be higher than the outer bath</w:t>
      </w:r>
    </w:p>
    <w:p w:rsidR="00F3498E" w:rsidRPr="00BB4D20" w:rsidRDefault="00BB4D20" w:rsidP="00BB4D20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F3498E" w:rsidRPr="00BB4D20">
        <w:rPr>
          <w:rFonts w:ascii="Book Antiqua" w:hAnsi="Book Antiqua"/>
          <w:sz w:val="20"/>
          <w:szCs w:val="20"/>
        </w:rPr>
        <w:t>emperature of</w:t>
      </w:r>
      <w:r>
        <w:rPr>
          <w:rFonts w:ascii="Book Antiqua" w:hAnsi="Book Antiqua"/>
          <w:sz w:val="20"/>
          <w:szCs w:val="20"/>
        </w:rPr>
        <w:t xml:space="preserve"> the</w:t>
      </w:r>
      <w:r w:rsidR="00F3498E" w:rsidRPr="00BB4D20">
        <w:rPr>
          <w:rFonts w:ascii="Book Antiqua" w:hAnsi="Book Antiqua"/>
          <w:sz w:val="20"/>
          <w:szCs w:val="20"/>
        </w:rPr>
        <w:t xml:space="preserve"> inner bath should be lower than the outer bath</w:t>
      </w:r>
    </w:p>
    <w:p w:rsidR="00F3498E" w:rsidRDefault="00BB4D20" w:rsidP="00BB4D20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F3498E" w:rsidRPr="00BB4D20">
        <w:rPr>
          <w:rFonts w:ascii="Book Antiqua" w:hAnsi="Book Antiqua"/>
          <w:sz w:val="20"/>
          <w:szCs w:val="20"/>
        </w:rPr>
        <w:t xml:space="preserve">emperature of </w:t>
      </w:r>
      <w:r>
        <w:rPr>
          <w:rFonts w:ascii="Book Antiqua" w:hAnsi="Book Antiqua"/>
          <w:sz w:val="20"/>
          <w:szCs w:val="20"/>
        </w:rPr>
        <w:t xml:space="preserve">the </w:t>
      </w:r>
      <w:r w:rsidR="00F3498E" w:rsidRPr="00BB4D20">
        <w:rPr>
          <w:rFonts w:ascii="Book Antiqua" w:hAnsi="Book Antiqua"/>
          <w:sz w:val="20"/>
          <w:szCs w:val="20"/>
        </w:rPr>
        <w:t>outer bath is not important</w:t>
      </w:r>
    </w:p>
    <w:p w:rsidR="00BB4D20" w:rsidRPr="00BB4D20" w:rsidRDefault="00BB4D20" w:rsidP="00BB4D20">
      <w:pPr>
        <w:pStyle w:val="ListParagraph"/>
        <w:spacing w:after="120" w:line="240" w:lineRule="auto"/>
        <w:ind w:left="1484"/>
        <w:contextualSpacing w:val="0"/>
        <w:rPr>
          <w:rFonts w:ascii="Book Antiqua" w:hAnsi="Book Antiqua"/>
          <w:sz w:val="20"/>
          <w:szCs w:val="20"/>
        </w:rPr>
      </w:pPr>
    </w:p>
    <w:p w:rsidR="00F3498E" w:rsidRPr="00BB4D20" w:rsidRDefault="0007120D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 xml:space="preserve">What is the role of </w:t>
      </w:r>
      <w:proofErr w:type="spellStart"/>
      <w:r w:rsidRPr="00BB4D20">
        <w:rPr>
          <w:rFonts w:ascii="Book Antiqua" w:hAnsi="Book Antiqua"/>
          <w:sz w:val="20"/>
          <w:szCs w:val="20"/>
        </w:rPr>
        <w:t>plasticine</w:t>
      </w:r>
      <w:proofErr w:type="spellEnd"/>
      <w:r w:rsidRPr="00BB4D20">
        <w:rPr>
          <w:rFonts w:ascii="Book Antiqua" w:hAnsi="Book Antiqua"/>
          <w:sz w:val="20"/>
          <w:szCs w:val="20"/>
        </w:rPr>
        <w:t xml:space="preserve"> in this experiment?</w:t>
      </w:r>
    </w:p>
    <w:p w:rsidR="0007120D" w:rsidRPr="00BB4D20" w:rsidRDefault="00BB4D20" w:rsidP="00BB4D20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A</w:t>
      </w:r>
      <w:r w:rsidR="0007120D" w:rsidRPr="00BB4D20">
        <w:rPr>
          <w:rFonts w:ascii="Book Antiqua" w:hAnsi="Book Antiqua"/>
          <w:sz w:val="20"/>
          <w:szCs w:val="20"/>
        </w:rPr>
        <w:t>ttachment of tissue end</w:t>
      </w:r>
    </w:p>
    <w:p w:rsidR="0007120D" w:rsidRPr="00BB4D20" w:rsidRDefault="00BB4D20" w:rsidP="00BB4D20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07120D" w:rsidRPr="00BB4D20">
        <w:rPr>
          <w:rFonts w:ascii="Book Antiqua" w:hAnsi="Book Antiqua"/>
          <w:sz w:val="20"/>
          <w:szCs w:val="20"/>
        </w:rPr>
        <w:t>ix the position of kymograph drum</w:t>
      </w:r>
    </w:p>
    <w:p w:rsidR="0007120D" w:rsidRPr="00BB4D20" w:rsidRDefault="00BB4D20" w:rsidP="00BB4D20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</w:t>
      </w:r>
      <w:r w:rsidR="0007120D" w:rsidRPr="00BB4D20">
        <w:rPr>
          <w:rFonts w:ascii="Book Antiqua" w:hAnsi="Book Antiqua"/>
          <w:sz w:val="20"/>
          <w:szCs w:val="20"/>
        </w:rPr>
        <w:t>eep the lever in position</w:t>
      </w:r>
    </w:p>
    <w:p w:rsidR="0007120D" w:rsidRDefault="00BB4D20" w:rsidP="00BB4D20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="004945EA" w:rsidRPr="00BB4D20">
        <w:rPr>
          <w:rFonts w:ascii="Book Antiqua" w:hAnsi="Book Antiqua"/>
          <w:sz w:val="20"/>
          <w:szCs w:val="20"/>
        </w:rPr>
        <w:t>ttach the lever with the stand</w:t>
      </w:r>
    </w:p>
    <w:p w:rsidR="00BB4D20" w:rsidRPr="00BB4D20" w:rsidRDefault="00BB4D20" w:rsidP="00BB4D20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07120D" w:rsidRPr="00BB4D20" w:rsidRDefault="004945EA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What should be the magnification for guinea pig ileum?</w:t>
      </w:r>
    </w:p>
    <w:p w:rsidR="004945EA" w:rsidRPr="00BB4D20" w:rsidRDefault="004945EA" w:rsidP="00BB4D20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4-6 times</w:t>
      </w:r>
    </w:p>
    <w:p w:rsidR="004945EA" w:rsidRPr="00BB4D20" w:rsidRDefault="004945EA" w:rsidP="00BB4D20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5-10 times</w:t>
      </w:r>
    </w:p>
    <w:p w:rsidR="004945EA" w:rsidRPr="00BB4D20" w:rsidRDefault="004945EA" w:rsidP="00BB4D20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10-15 times</w:t>
      </w:r>
    </w:p>
    <w:p w:rsidR="004945EA" w:rsidRDefault="004945EA" w:rsidP="00BB4D20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15-20 times</w:t>
      </w:r>
    </w:p>
    <w:p w:rsidR="00BB4D20" w:rsidRPr="00BB4D20" w:rsidRDefault="00BB4D20" w:rsidP="00BB4D20">
      <w:pPr>
        <w:pStyle w:val="ListParagraph"/>
        <w:spacing w:after="120" w:line="240" w:lineRule="auto"/>
        <w:ind w:left="1484"/>
        <w:contextualSpacing w:val="0"/>
        <w:rPr>
          <w:rFonts w:ascii="Book Antiqua" w:hAnsi="Book Antiqua"/>
          <w:sz w:val="20"/>
          <w:szCs w:val="20"/>
        </w:rPr>
      </w:pPr>
    </w:p>
    <w:p w:rsidR="004945EA" w:rsidRPr="00BB4D20" w:rsidRDefault="004945EA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What should be the contact time for guinea pig ileum?</w:t>
      </w:r>
    </w:p>
    <w:p w:rsidR="004945EA" w:rsidRPr="00BB4D20" w:rsidRDefault="004945EA" w:rsidP="00BB4D20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30 sec</w:t>
      </w:r>
    </w:p>
    <w:p w:rsidR="004945EA" w:rsidRPr="00BB4D20" w:rsidRDefault="004945EA" w:rsidP="00BB4D20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40 sec</w:t>
      </w:r>
    </w:p>
    <w:p w:rsidR="004945EA" w:rsidRPr="00BB4D20" w:rsidRDefault="004945EA" w:rsidP="00BB4D20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50 sec</w:t>
      </w:r>
    </w:p>
    <w:p w:rsidR="004945EA" w:rsidRDefault="004945EA" w:rsidP="00BB4D20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60 sec</w:t>
      </w:r>
    </w:p>
    <w:p w:rsidR="00BB4D20" w:rsidRPr="00BB4D20" w:rsidRDefault="00BB4D20" w:rsidP="00BB4D20">
      <w:pPr>
        <w:pStyle w:val="ListParagraph"/>
        <w:spacing w:after="120" w:line="240" w:lineRule="auto"/>
        <w:ind w:left="1484"/>
        <w:contextualSpacing w:val="0"/>
        <w:rPr>
          <w:rFonts w:ascii="Book Antiqua" w:hAnsi="Book Antiqua"/>
          <w:sz w:val="20"/>
          <w:szCs w:val="20"/>
        </w:rPr>
      </w:pPr>
    </w:p>
    <w:p w:rsidR="004945EA" w:rsidRDefault="004945EA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Tissue holder can also be used as a source of oxygen supplier. T/F</w:t>
      </w:r>
    </w:p>
    <w:p w:rsidR="00BB4D20" w:rsidRPr="00BB4D20" w:rsidRDefault="00BB4D20" w:rsidP="00BB4D20">
      <w:pPr>
        <w:pStyle w:val="ListParagraph"/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</w:p>
    <w:p w:rsidR="00F3498E" w:rsidRPr="00BB4D20" w:rsidRDefault="004945EA" w:rsidP="00BB4D2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BB4D20">
        <w:rPr>
          <w:rFonts w:ascii="Book Antiqua" w:hAnsi="Book Antiqua"/>
          <w:sz w:val="20"/>
          <w:szCs w:val="20"/>
        </w:rPr>
        <w:t>Contact time is same for all experimental tissues. T/F</w:t>
      </w:r>
    </w:p>
    <w:p w:rsidR="002E525B" w:rsidRPr="00BB4D20" w:rsidRDefault="002E525B" w:rsidP="00BB4D20">
      <w:pPr>
        <w:spacing w:after="120" w:line="240" w:lineRule="auto"/>
        <w:rPr>
          <w:rFonts w:ascii="Book Antiqua" w:hAnsi="Book Antiqua"/>
          <w:sz w:val="20"/>
          <w:szCs w:val="20"/>
        </w:rPr>
      </w:pPr>
    </w:p>
    <w:sectPr w:rsidR="002E525B" w:rsidRPr="00BB4D20" w:rsidSect="002E525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7BB"/>
    <w:multiLevelType w:val="hybridMultilevel"/>
    <w:tmpl w:val="B7EC6CA8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>
    <w:nsid w:val="15B903F0"/>
    <w:multiLevelType w:val="hybridMultilevel"/>
    <w:tmpl w:val="967A72C4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>
    <w:nsid w:val="17E97FAC"/>
    <w:multiLevelType w:val="hybridMultilevel"/>
    <w:tmpl w:val="74E621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967033"/>
    <w:multiLevelType w:val="hybridMultilevel"/>
    <w:tmpl w:val="6042371C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>
    <w:nsid w:val="23F655F5"/>
    <w:multiLevelType w:val="hybridMultilevel"/>
    <w:tmpl w:val="FA64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70B8A"/>
    <w:multiLevelType w:val="hybridMultilevel"/>
    <w:tmpl w:val="E03E6588"/>
    <w:lvl w:ilvl="0" w:tplc="0409001B">
      <w:start w:val="1"/>
      <w:numFmt w:val="lowerRoman"/>
      <w:lvlText w:val="%1."/>
      <w:lvlJc w:val="righ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6">
    <w:nsid w:val="2A926CBF"/>
    <w:multiLevelType w:val="hybridMultilevel"/>
    <w:tmpl w:val="4948C814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>
    <w:nsid w:val="3A2D043C"/>
    <w:multiLevelType w:val="hybridMultilevel"/>
    <w:tmpl w:val="20C20E98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>
    <w:nsid w:val="3FAC6A95"/>
    <w:multiLevelType w:val="hybridMultilevel"/>
    <w:tmpl w:val="28EC3ED4"/>
    <w:lvl w:ilvl="0" w:tplc="04090017">
      <w:start w:val="1"/>
      <w:numFmt w:val="lowerLetter"/>
      <w:lvlText w:val="%1)"/>
      <w:lvlJc w:val="lef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9">
    <w:nsid w:val="442A42AC"/>
    <w:multiLevelType w:val="hybridMultilevel"/>
    <w:tmpl w:val="141CEA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7A7433"/>
    <w:multiLevelType w:val="hybridMultilevel"/>
    <w:tmpl w:val="163E90FE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1">
    <w:nsid w:val="5A2F139C"/>
    <w:multiLevelType w:val="hybridMultilevel"/>
    <w:tmpl w:val="01BAB00C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>
    <w:nsid w:val="604C21DF"/>
    <w:multiLevelType w:val="hybridMultilevel"/>
    <w:tmpl w:val="5E72A3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BB022F"/>
    <w:multiLevelType w:val="hybridMultilevel"/>
    <w:tmpl w:val="EB2444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9A192A"/>
    <w:multiLevelType w:val="hybridMultilevel"/>
    <w:tmpl w:val="118C7F2C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>
    <w:nsid w:val="6C05571C"/>
    <w:multiLevelType w:val="hybridMultilevel"/>
    <w:tmpl w:val="0BEA7A66"/>
    <w:lvl w:ilvl="0" w:tplc="0409001B">
      <w:start w:val="1"/>
      <w:numFmt w:val="lowerRoman"/>
      <w:lvlText w:val="%1."/>
      <w:lvlJc w:val="righ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6">
    <w:nsid w:val="6E9234C3"/>
    <w:multiLevelType w:val="hybridMultilevel"/>
    <w:tmpl w:val="C172D10C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0D"/>
    <w:rsid w:val="0007120D"/>
    <w:rsid w:val="002069E4"/>
    <w:rsid w:val="002E525B"/>
    <w:rsid w:val="004945EA"/>
    <w:rsid w:val="00731309"/>
    <w:rsid w:val="00BB4D20"/>
    <w:rsid w:val="00CE360D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F96B-B8A3-4F69-8FE5-49533E0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onar Bang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Future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Malek</dc:creator>
  <cp:keywords/>
  <dc:description/>
  <cp:lastModifiedBy>Windows User</cp:lastModifiedBy>
  <cp:revision>5</cp:revision>
  <dcterms:created xsi:type="dcterms:W3CDTF">2015-12-07T04:57:00Z</dcterms:created>
  <dcterms:modified xsi:type="dcterms:W3CDTF">2019-01-27T22:49:00Z</dcterms:modified>
</cp:coreProperties>
</file>